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360" w:lineRule="auto"/>
        <w:jc w:val="center"/>
        <w:rPr>
          <w:rFonts w:hint="default" w:ascii="宋体" w:hAnsi="宋体" w:eastAsia="宋体" w:cs="宋体"/>
          <w:sz w:val="24"/>
          <w:lang w:val="en-US"/>
        </w:rPr>
      </w:pPr>
      <w:r>
        <w:rPr>
          <w:rFonts w:hint="eastAsia" w:ascii="宋体" w:hAnsi="宋体" w:eastAsia="宋体" w:cs="宋体"/>
          <w:sz w:val="24"/>
        </w:rPr>
        <w:t>证券代码：002871        证券简称：伟隆股份       公告编号：2022</w:t>
      </w:r>
      <w:r>
        <w:rPr>
          <w:rFonts w:hint="eastAsia" w:ascii="宋体" w:hAnsi="宋体" w:eastAsia="宋体" w:cs="宋体"/>
          <w:sz w:val="24"/>
          <w:highlight w:val="none"/>
        </w:rPr>
        <w:t>-</w:t>
      </w:r>
      <w:r>
        <w:rPr>
          <w:rFonts w:hint="default" w:ascii="宋体" w:hAnsi="宋体" w:eastAsia="宋体" w:cs="宋体"/>
          <w:sz w:val="24"/>
          <w:highlight w:val="none"/>
          <w:lang w:val="en-US"/>
        </w:rPr>
        <w:t>083</w:t>
      </w:r>
    </w:p>
    <w:p>
      <w:pPr>
        <w:spacing w:line="480" w:lineRule="auto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青岛伟隆阀门股份有限公司</w:t>
      </w:r>
    </w:p>
    <w:p>
      <w:pPr>
        <w:spacing w:line="480" w:lineRule="auto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关于变更公司注册资本与修改《公司章程》的公告</w:t>
      </w:r>
    </w:p>
    <w:tbl>
      <w:tblPr>
        <w:tblStyle w:val="7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ind w:firstLine="480" w:firstLineChars="2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本公司及董事会全体成员保证信息披露内容的真实、准确和完整，没有虚假记载、误导性陈述或重大遗漏。</w:t>
            </w:r>
          </w:p>
        </w:tc>
      </w:tr>
    </w:tbl>
    <w:p>
      <w:pPr>
        <w:spacing w:line="480" w:lineRule="auto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</w:p>
    <w:p>
      <w:pPr>
        <w:spacing w:line="48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青岛伟隆阀门股份有限公司（以下简称：“公司”）于 202</w:t>
      </w:r>
      <w:r>
        <w:rPr>
          <w:rFonts w:ascii="宋体" w:hAnsi="宋体" w:eastAsia="宋体" w:cs="宋体"/>
          <w:sz w:val="24"/>
        </w:rPr>
        <w:t>2</w:t>
      </w:r>
      <w:r>
        <w:rPr>
          <w:rFonts w:hint="eastAsia" w:ascii="宋体" w:hAnsi="宋体" w:eastAsia="宋体" w:cs="宋体"/>
          <w:sz w:val="24"/>
        </w:rPr>
        <w:t>年</w:t>
      </w:r>
      <w:r>
        <w:rPr>
          <w:rFonts w:ascii="宋体" w:hAnsi="宋体" w:eastAsia="宋体" w:cs="宋体"/>
          <w:sz w:val="24"/>
        </w:rPr>
        <w:t>10</w:t>
      </w:r>
      <w:r>
        <w:rPr>
          <w:rFonts w:hint="eastAsia" w:ascii="宋体" w:hAnsi="宋体" w:eastAsia="宋体" w:cs="宋体"/>
          <w:sz w:val="24"/>
        </w:rPr>
        <w:t>月</w:t>
      </w:r>
      <w:r>
        <w:rPr>
          <w:rFonts w:ascii="宋体" w:hAnsi="宋体" w:eastAsia="宋体" w:cs="宋体"/>
          <w:sz w:val="24"/>
        </w:rPr>
        <w:t>27</w:t>
      </w:r>
      <w:r>
        <w:rPr>
          <w:rFonts w:hint="eastAsia" w:ascii="宋体" w:hAnsi="宋体" w:eastAsia="宋体" w:cs="宋体"/>
          <w:sz w:val="24"/>
        </w:rPr>
        <w:t>日召开第四届董事会第十五次会议、第四届监事会第十三次会议审议通过了《关于变更公司注册资本与修改《公司章程》的议案》，同意</w:t>
      </w:r>
      <w:r>
        <w:rPr>
          <w:rFonts w:asciiTheme="minorEastAsia" w:hAnsiTheme="minorEastAsia"/>
          <w:sz w:val="24"/>
          <w:szCs w:val="23"/>
        </w:rPr>
        <w:t>依据《中华人民共和国公司法》、《上市公司治理准则》、《上市公司章程指引》和《深圳证券交易所股票上市规则》等法律法规、规范性文件的规定，公司拟对《公司章程》中相关内容进行相应修订</w:t>
      </w:r>
      <w:r>
        <w:rPr>
          <w:rFonts w:hint="eastAsia" w:asciiTheme="minorEastAsia" w:hAnsiTheme="minorEastAsia"/>
          <w:sz w:val="24"/>
          <w:szCs w:val="23"/>
        </w:rPr>
        <w:t>；根据公司《2021年限制性股票激励计划草案（修订稿）》的规定, 公司董事会提请股东大会根据2021年</w:t>
      </w:r>
      <w:r>
        <w:rPr>
          <w:rFonts w:asciiTheme="minorEastAsia" w:hAnsiTheme="minorEastAsia"/>
          <w:sz w:val="24"/>
          <w:szCs w:val="23"/>
        </w:rPr>
        <w:t>第</w:t>
      </w:r>
      <w:r>
        <w:rPr>
          <w:rFonts w:hint="eastAsia" w:asciiTheme="minorEastAsia" w:hAnsiTheme="minorEastAsia"/>
          <w:sz w:val="24"/>
          <w:szCs w:val="23"/>
          <w:lang w:val="en-US" w:eastAsia="zh-CN"/>
        </w:rPr>
        <w:t>一</w:t>
      </w:r>
      <w:r>
        <w:rPr>
          <w:rFonts w:asciiTheme="minorEastAsia" w:hAnsiTheme="minorEastAsia"/>
          <w:sz w:val="24"/>
          <w:szCs w:val="23"/>
        </w:rPr>
        <w:t>期股权激励限制</w:t>
      </w:r>
      <w:r>
        <w:rPr>
          <w:rFonts w:hint="eastAsia" w:asciiTheme="minorEastAsia" w:hAnsiTheme="minorEastAsia"/>
          <w:sz w:val="24"/>
          <w:szCs w:val="23"/>
        </w:rPr>
        <w:t>性股票回购注销事项，</w:t>
      </w:r>
      <w:r>
        <w:rPr>
          <w:rFonts w:hint="eastAsia" w:ascii="宋体" w:hAnsi="宋体" w:eastAsia="宋体" w:cs="宋体"/>
          <w:sz w:val="24"/>
        </w:rPr>
        <w:t>变更注册资本，并对《公司章程》作出如下修订：</w:t>
      </w:r>
    </w:p>
    <w:p>
      <w:pPr>
        <w:spacing w:line="480" w:lineRule="auto"/>
        <w:jc w:val="left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一、公司章程修订情况</w:t>
      </w:r>
    </w:p>
    <w:tbl>
      <w:tblPr>
        <w:tblStyle w:val="8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3705"/>
        <w:gridCol w:w="4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</w:tcPr>
          <w:p>
            <w:pPr>
              <w:spacing w:line="480" w:lineRule="auto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序号</w:t>
            </w:r>
          </w:p>
        </w:tc>
        <w:tc>
          <w:tcPr>
            <w:tcW w:w="3705" w:type="dxa"/>
          </w:tcPr>
          <w:p>
            <w:pPr>
              <w:spacing w:line="480" w:lineRule="auto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原公司章程条款</w:t>
            </w:r>
          </w:p>
        </w:tc>
        <w:tc>
          <w:tcPr>
            <w:tcW w:w="4433" w:type="dxa"/>
          </w:tcPr>
          <w:p>
            <w:pPr>
              <w:spacing w:line="480" w:lineRule="auto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修改后公司章程条款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759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3705" w:type="dxa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第五条：公司注册资本为人民币 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16,903.2648</w:t>
            </w:r>
            <w:r>
              <w:rPr>
                <w:rFonts w:hint="eastAsia" w:ascii="宋体" w:hAnsi="宋体" w:eastAsia="宋体" w:cs="宋体"/>
                <w:szCs w:val="21"/>
              </w:rPr>
              <w:t>万元。</w:t>
            </w:r>
          </w:p>
        </w:tc>
        <w:tc>
          <w:tcPr>
            <w:tcW w:w="4433" w:type="dxa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第五条：公司注册资本为人民币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16,887.7148</w:t>
            </w:r>
            <w:r>
              <w:rPr>
                <w:rFonts w:hint="eastAsia" w:ascii="宋体" w:hAnsi="宋体" w:eastAsia="宋体" w:cs="宋体"/>
                <w:szCs w:val="21"/>
              </w:rPr>
              <w:t>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</w:tc>
        <w:tc>
          <w:tcPr>
            <w:tcW w:w="3705" w:type="dxa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第十七条：公司股份总数为 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16,903.2648</w:t>
            </w:r>
            <w:r>
              <w:rPr>
                <w:rFonts w:hint="eastAsia" w:ascii="宋体" w:hAnsi="宋体" w:eastAsia="宋体" w:cs="宋体"/>
                <w:szCs w:val="21"/>
              </w:rPr>
              <w:t>万股，每股面值为人民币1元，均为普通股。</w:t>
            </w:r>
          </w:p>
        </w:tc>
        <w:tc>
          <w:tcPr>
            <w:tcW w:w="4433" w:type="dxa"/>
          </w:tcPr>
          <w:p>
            <w:pPr>
              <w:spacing w:line="480" w:lineRule="auto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第十七条：公司股份总数为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16,887.7148</w:t>
            </w:r>
            <w:r>
              <w:rPr>
                <w:rFonts w:hint="eastAsia" w:ascii="宋体" w:hAnsi="宋体" w:eastAsia="宋体" w:cs="宋体"/>
                <w:szCs w:val="21"/>
              </w:rPr>
              <w:t>万股，每股面值为人民币1元，均为普通股。</w:t>
            </w:r>
          </w:p>
        </w:tc>
      </w:tr>
    </w:tbl>
    <w:p>
      <w:pPr>
        <w:spacing w:line="48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除上述条款外，《公司章程》中其他条款未发生变化。</w:t>
      </w:r>
    </w:p>
    <w:p>
      <w:pPr>
        <w:numPr>
          <w:ilvl w:val="0"/>
          <w:numId w:val="1"/>
        </w:numPr>
        <w:spacing w:line="480" w:lineRule="auto"/>
        <w:ind w:firstLine="482" w:firstLineChars="200"/>
        <w:jc w:val="left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其他事项说明</w:t>
      </w:r>
    </w:p>
    <w:p>
      <w:pPr>
        <w:spacing w:line="48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1、本次变更注册资本及章程条款的修订以工商行政管理部门最终核准、登记为准； </w:t>
      </w:r>
    </w:p>
    <w:p>
      <w:pPr>
        <w:spacing w:line="48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2、上述议案事项尚需提交公司2022年度第四次临时股东大会审议通过； </w:t>
      </w:r>
    </w:p>
    <w:p>
      <w:pPr>
        <w:spacing w:line="48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3、董事会已提请股东大会授权董事会办理相关工商变更登记手续，公司董事会授权公司职能部门根据规定办理工商变更登记事宜</w:t>
      </w:r>
      <w:r>
        <w:rPr>
          <w:rFonts w:hint="eastAsia" w:ascii="宋体" w:hAnsi="宋体" w:eastAsia="宋体" w:cs="宋体"/>
          <w:sz w:val="24"/>
          <w:lang w:eastAsia="zh-CN"/>
        </w:rPr>
        <w:t>。</w:t>
      </w:r>
      <w:bookmarkStart w:id="0" w:name="_GoBack"/>
      <w:bookmarkEnd w:id="0"/>
      <w:r>
        <w:rPr>
          <w:rFonts w:hint="eastAsia" w:ascii="宋体" w:hAnsi="宋体" w:eastAsia="宋体" w:cs="宋体"/>
          <w:sz w:val="24"/>
        </w:rPr>
        <w:t xml:space="preserve"> </w:t>
      </w:r>
    </w:p>
    <w:p>
      <w:pPr>
        <w:numPr>
          <w:ilvl w:val="0"/>
          <w:numId w:val="1"/>
        </w:numPr>
        <w:spacing w:line="480" w:lineRule="auto"/>
        <w:ind w:firstLine="482" w:firstLineChars="200"/>
        <w:jc w:val="left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 xml:space="preserve">备查文件： </w:t>
      </w:r>
    </w:p>
    <w:p>
      <w:pPr>
        <w:spacing w:line="48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1、《青岛伟隆阀门股份有限公司第四届董事会第十五次会议决议》； </w:t>
      </w:r>
    </w:p>
    <w:p>
      <w:pPr>
        <w:spacing w:line="48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2、《青岛伟隆阀门股份有限公司第四届监事会第十三次会议决议》</w:t>
      </w:r>
    </w:p>
    <w:p>
      <w:pPr>
        <w:spacing w:line="48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3、深圳证券交易所要求的其他文件。</w:t>
      </w:r>
    </w:p>
    <w:p>
      <w:pPr>
        <w:spacing w:line="48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</w:p>
    <w:p>
      <w:pPr>
        <w:ind w:firstLine="4200" w:firstLineChars="1750"/>
        <w:jc w:val="righ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青岛伟隆阀门股份有限公司</w:t>
      </w:r>
    </w:p>
    <w:p>
      <w:pPr>
        <w:wordWrap w:val="0"/>
        <w:ind w:firstLine="4200" w:firstLineChars="1750"/>
        <w:jc w:val="righ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董事会        </w:t>
      </w:r>
    </w:p>
    <w:p>
      <w:pPr>
        <w:wordWrap w:val="0"/>
        <w:ind w:firstLine="4200" w:firstLineChars="1750"/>
        <w:jc w:val="righ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2022年10月28日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79C44B"/>
    <w:multiLevelType w:val="singleLevel"/>
    <w:tmpl w:val="6B79C44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RiYWIwNzkzYTg0MzhhYmIxYTgwNmNhNDYxODQzNjMifQ=="/>
  </w:docVars>
  <w:rsids>
    <w:rsidRoot w:val="00C75EB6"/>
    <w:rsid w:val="001073F8"/>
    <w:rsid w:val="00423A73"/>
    <w:rsid w:val="0057278F"/>
    <w:rsid w:val="005E2B05"/>
    <w:rsid w:val="00652518"/>
    <w:rsid w:val="006C33D4"/>
    <w:rsid w:val="0072215F"/>
    <w:rsid w:val="0079064A"/>
    <w:rsid w:val="00991807"/>
    <w:rsid w:val="00AE20B1"/>
    <w:rsid w:val="00AE556C"/>
    <w:rsid w:val="00B34BA2"/>
    <w:rsid w:val="00B50C58"/>
    <w:rsid w:val="00B66189"/>
    <w:rsid w:val="00B70B72"/>
    <w:rsid w:val="00C74E45"/>
    <w:rsid w:val="00C75EB6"/>
    <w:rsid w:val="03E52811"/>
    <w:rsid w:val="067B3E53"/>
    <w:rsid w:val="06876E74"/>
    <w:rsid w:val="091F52B1"/>
    <w:rsid w:val="0D92076F"/>
    <w:rsid w:val="0E400CAB"/>
    <w:rsid w:val="0FC74A21"/>
    <w:rsid w:val="0FFC7D74"/>
    <w:rsid w:val="148C5395"/>
    <w:rsid w:val="14CF5102"/>
    <w:rsid w:val="17812175"/>
    <w:rsid w:val="1DBD2A77"/>
    <w:rsid w:val="1FB7083B"/>
    <w:rsid w:val="24B80D06"/>
    <w:rsid w:val="280D761A"/>
    <w:rsid w:val="2AD41E01"/>
    <w:rsid w:val="2D552539"/>
    <w:rsid w:val="31730114"/>
    <w:rsid w:val="35F97BA2"/>
    <w:rsid w:val="38870C63"/>
    <w:rsid w:val="3AD07936"/>
    <w:rsid w:val="3F6C17B1"/>
    <w:rsid w:val="43D22415"/>
    <w:rsid w:val="45FA523E"/>
    <w:rsid w:val="4E1D7B05"/>
    <w:rsid w:val="4F8179C0"/>
    <w:rsid w:val="546A4318"/>
    <w:rsid w:val="557467B6"/>
    <w:rsid w:val="55DA4524"/>
    <w:rsid w:val="56D95906"/>
    <w:rsid w:val="5A9423BE"/>
    <w:rsid w:val="647550FD"/>
    <w:rsid w:val="67E0214D"/>
    <w:rsid w:val="7314687B"/>
    <w:rsid w:val="77A835D6"/>
    <w:rsid w:val="7DD06B3A"/>
    <w:rsid w:val="7EA012DE"/>
    <w:rsid w:val="7EBC08F8"/>
    <w:rsid w:val="7EE73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qFormat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9"/>
    <w:qFormat/>
    <w:uiPriority w:val="0"/>
    <w:rPr>
      <w:sz w:val="21"/>
      <w:szCs w:val="21"/>
    </w:rPr>
  </w:style>
  <w:style w:type="character" w:customStyle="1" w:styleId="11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文字 Char"/>
    <w:basedOn w:val="9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4">
    <w:name w:val="批注主题 Char"/>
    <w:basedOn w:val="13"/>
    <w:link w:val="6"/>
    <w:qFormat/>
    <w:uiPriority w:val="0"/>
    <w:rPr>
      <w:b/>
      <w:bCs/>
    </w:rPr>
  </w:style>
  <w:style w:type="character" w:customStyle="1" w:styleId="15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756</Words>
  <Characters>827</Characters>
  <Lines>6</Lines>
  <Paragraphs>1</Paragraphs>
  <TotalTime>0</TotalTime>
  <ScaleCrop>false</ScaleCrop>
  <LinksUpToDate>false</LinksUpToDate>
  <CharactersWithSpaces>862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2021-08-03T08:56:00Z</dcterms:created>
  <dc:creator>zhaoxiang</dc:creator>
  <cp:lastModifiedBy>Mr.翔</cp:lastModifiedBy>
  <cp:lastPrinted>2021-08-04T03:00:00Z</cp:lastPrinted>
  <dcterms:modified xsi:type="dcterms:W3CDTF">2022-10-24T08:39:57Z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C2D6C50A53A3403BBE2E61D7811533CB</vt:lpwstr>
  </property>
</Properties>
</file>